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4882" w:rsidRDefault="00684882" w:rsidP="00684882">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684882" w:rsidRDefault="00684882" w:rsidP="00684882">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684882" w:rsidRDefault="00684882" w:rsidP="00684882">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684882" w:rsidRDefault="00684882" w:rsidP="00684882">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684882" w:rsidRDefault="00684882" w:rsidP="00684882">
      <w:pPr>
        <w:spacing w:line="480" w:lineRule="auto"/>
        <w:jc w:val="center"/>
        <w:rPr>
          <w:rFonts w:ascii="Times New Roman" w:hAnsi="Times New Roman" w:cs="Times New Roman"/>
          <w:sz w:val="24"/>
          <w:szCs w:val="24"/>
        </w:rPr>
      </w:pPr>
      <w:r>
        <w:rPr>
          <w:rFonts w:ascii="Times New Roman" w:hAnsi="Times New Roman" w:cs="Times New Roman"/>
          <w:sz w:val="24"/>
          <w:szCs w:val="24"/>
        </w:rPr>
        <w:t>Bloom’s Taxo</w:t>
      </w:r>
      <w:bookmarkStart w:id="0" w:name="_GoBack"/>
      <w:bookmarkEnd w:id="0"/>
      <w:r>
        <w:rPr>
          <w:rFonts w:ascii="Times New Roman" w:hAnsi="Times New Roman" w:cs="Times New Roman"/>
          <w:sz w:val="24"/>
          <w:szCs w:val="24"/>
        </w:rPr>
        <w:t>nomy</w:t>
      </w:r>
    </w:p>
    <w:p w:rsidR="00A275AB" w:rsidRPr="00A275AB" w:rsidRDefault="00A275AB" w:rsidP="00A275AB">
      <w:pPr>
        <w:spacing w:line="480" w:lineRule="auto"/>
        <w:ind w:firstLine="720"/>
        <w:rPr>
          <w:rFonts w:ascii="Times New Roman" w:hAnsi="Times New Roman" w:cs="Times New Roman"/>
          <w:sz w:val="24"/>
          <w:szCs w:val="24"/>
        </w:rPr>
      </w:pPr>
      <w:r w:rsidRPr="00A275AB">
        <w:rPr>
          <w:rFonts w:ascii="Times New Roman" w:hAnsi="Times New Roman" w:cs="Times New Roman"/>
          <w:sz w:val="24"/>
          <w:szCs w:val="24"/>
        </w:rPr>
        <w:t>Bloom's taxonomy is a multi-tiered system for classifying thinking based on six levels of complexity. There are two levels in this category; lowest level made of knowledge, comprehension and application and highest level made of analysis, synthesis, and evaluation. One has to master the lower level before learning the upper three. The lower level covers learning objectives and cognitive thus helping in improving human thinking. Initial school of thought gave rise to education goals as cognitive which is a knowledge-based domain, the effect which is attitudinal and psychomotor which is majorly skill based. The revised structure focused terminology changes, structure and emphasis change. This system is critical particularly when one wants to move people through a learning procedure and use composed format.</w:t>
      </w:r>
      <w:r w:rsidR="00FE3C94">
        <w:rPr>
          <w:rFonts w:ascii="Times New Roman" w:hAnsi="Times New Roman" w:cs="Times New Roman"/>
          <w:sz w:val="24"/>
          <w:szCs w:val="24"/>
        </w:rPr>
        <w:t xml:space="preserve"> The system enables teachers to measure their students</w:t>
      </w:r>
      <w:r w:rsidR="00C535E5">
        <w:rPr>
          <w:rFonts w:ascii="Times New Roman" w:hAnsi="Times New Roman" w:cs="Times New Roman"/>
          <w:sz w:val="24"/>
          <w:szCs w:val="24"/>
        </w:rPr>
        <w:t>’</w:t>
      </w:r>
      <w:r w:rsidR="00FE3C94">
        <w:rPr>
          <w:rFonts w:ascii="Times New Roman" w:hAnsi="Times New Roman" w:cs="Times New Roman"/>
          <w:sz w:val="24"/>
          <w:szCs w:val="24"/>
        </w:rPr>
        <w:t xml:space="preserve"> capability by classifying intellectual behaviors significant in learning. </w:t>
      </w:r>
      <w:r w:rsidR="0043308C">
        <w:rPr>
          <w:rFonts w:ascii="Times New Roman" w:hAnsi="Times New Roman" w:cs="Times New Roman"/>
          <w:sz w:val="24"/>
          <w:szCs w:val="24"/>
        </w:rPr>
        <w:t xml:space="preserve">Most recent </w:t>
      </w:r>
      <w:r w:rsidR="00FE3C94">
        <w:rPr>
          <w:rFonts w:ascii="Times New Roman" w:hAnsi="Times New Roman" w:cs="Times New Roman"/>
          <w:sz w:val="24"/>
          <w:szCs w:val="24"/>
        </w:rPr>
        <w:t xml:space="preserve">structure gives </w:t>
      </w:r>
      <w:r w:rsidR="0043308C">
        <w:rPr>
          <w:rFonts w:ascii="Times New Roman" w:hAnsi="Times New Roman" w:cs="Times New Roman"/>
          <w:sz w:val="24"/>
          <w:szCs w:val="24"/>
        </w:rPr>
        <w:t>unequivocal</w:t>
      </w:r>
      <w:r w:rsidR="00FE3C94">
        <w:rPr>
          <w:rFonts w:ascii="Times New Roman" w:hAnsi="Times New Roman" w:cs="Times New Roman"/>
          <w:sz w:val="24"/>
          <w:szCs w:val="24"/>
        </w:rPr>
        <w:t xml:space="preserve"> visual </w:t>
      </w:r>
      <w:r w:rsidR="0043308C">
        <w:rPr>
          <w:rFonts w:ascii="Times New Roman" w:hAnsi="Times New Roman" w:cs="Times New Roman"/>
          <w:sz w:val="24"/>
          <w:szCs w:val="24"/>
        </w:rPr>
        <w:t xml:space="preserve">portrayal </w:t>
      </w:r>
      <w:r w:rsidR="00FE3C94">
        <w:rPr>
          <w:rFonts w:ascii="Times New Roman" w:hAnsi="Times New Roman" w:cs="Times New Roman"/>
          <w:sz w:val="24"/>
          <w:szCs w:val="24"/>
        </w:rPr>
        <w:t xml:space="preserve">of the </w:t>
      </w:r>
      <w:r w:rsidR="0043308C">
        <w:rPr>
          <w:rFonts w:ascii="Times New Roman" w:hAnsi="Times New Roman" w:cs="Times New Roman"/>
          <w:sz w:val="24"/>
          <w:szCs w:val="24"/>
        </w:rPr>
        <w:t>arrangement</w:t>
      </w:r>
      <w:r w:rsidR="00FE3C94">
        <w:rPr>
          <w:rFonts w:ascii="Times New Roman" w:hAnsi="Times New Roman" w:cs="Times New Roman"/>
          <w:sz w:val="24"/>
          <w:szCs w:val="24"/>
        </w:rPr>
        <w:t xml:space="preserve"> between </w:t>
      </w:r>
      <w:r w:rsidR="0043308C">
        <w:rPr>
          <w:rFonts w:ascii="Times New Roman" w:hAnsi="Times New Roman" w:cs="Times New Roman"/>
          <w:sz w:val="24"/>
          <w:szCs w:val="24"/>
        </w:rPr>
        <w:t>gauges</w:t>
      </w:r>
      <w:r w:rsidR="00FE3C94">
        <w:rPr>
          <w:rFonts w:ascii="Times New Roman" w:hAnsi="Times New Roman" w:cs="Times New Roman"/>
          <w:sz w:val="24"/>
          <w:szCs w:val="24"/>
        </w:rPr>
        <w:t xml:space="preserve">, </w:t>
      </w:r>
      <w:r w:rsidR="0043308C">
        <w:rPr>
          <w:rFonts w:ascii="Times New Roman" w:hAnsi="Times New Roman" w:cs="Times New Roman"/>
          <w:sz w:val="24"/>
          <w:szCs w:val="24"/>
        </w:rPr>
        <w:t xml:space="preserve">instructive </w:t>
      </w:r>
      <w:r w:rsidR="00FE3C94">
        <w:rPr>
          <w:rFonts w:ascii="Times New Roman" w:hAnsi="Times New Roman" w:cs="Times New Roman"/>
          <w:sz w:val="24"/>
          <w:szCs w:val="24"/>
        </w:rPr>
        <w:t>goals, objectives, products and activities.</w:t>
      </w:r>
      <w:r w:rsidR="00C535E5">
        <w:rPr>
          <w:rFonts w:ascii="Times New Roman" w:hAnsi="Times New Roman" w:cs="Times New Roman"/>
          <w:sz w:val="24"/>
          <w:szCs w:val="24"/>
        </w:rPr>
        <w:t xml:space="preserve"> </w:t>
      </w:r>
      <w:r w:rsidR="00E0228D">
        <w:rPr>
          <w:rFonts w:ascii="Times New Roman" w:hAnsi="Times New Roman" w:cs="Times New Roman"/>
          <w:sz w:val="24"/>
          <w:szCs w:val="24"/>
        </w:rPr>
        <w:t>The conformation</w:t>
      </w:r>
      <w:r w:rsidR="00C535E5">
        <w:rPr>
          <w:rFonts w:ascii="Times New Roman" w:hAnsi="Times New Roman" w:cs="Times New Roman"/>
          <w:sz w:val="24"/>
          <w:szCs w:val="24"/>
        </w:rPr>
        <w:t xml:space="preserve"> provided team-teachers with common language with which to translate and discuss state standards from two different areas. Its application will determine whether it lies on the low or high educational level of thinking. This </w:t>
      </w:r>
      <w:r w:rsidR="0090628D">
        <w:rPr>
          <w:rFonts w:ascii="Times New Roman" w:hAnsi="Times New Roman" w:cs="Times New Roman"/>
          <w:sz w:val="24"/>
          <w:szCs w:val="24"/>
        </w:rPr>
        <w:t>sort of conduct joins</w:t>
      </w:r>
      <w:r w:rsidR="00C535E5">
        <w:rPr>
          <w:rFonts w:ascii="Times New Roman" w:hAnsi="Times New Roman" w:cs="Times New Roman"/>
          <w:sz w:val="24"/>
          <w:szCs w:val="24"/>
        </w:rPr>
        <w:t xml:space="preserve"> it to multiple intell</w:t>
      </w:r>
      <w:r w:rsidR="005F129D">
        <w:rPr>
          <w:rFonts w:ascii="Times New Roman" w:hAnsi="Times New Roman" w:cs="Times New Roman"/>
          <w:sz w:val="24"/>
          <w:szCs w:val="24"/>
        </w:rPr>
        <w:t xml:space="preserve">igence, </w:t>
      </w:r>
      <w:r w:rsidR="0090628D">
        <w:rPr>
          <w:rFonts w:ascii="Times New Roman" w:hAnsi="Times New Roman" w:cs="Times New Roman"/>
          <w:sz w:val="24"/>
          <w:szCs w:val="24"/>
        </w:rPr>
        <w:t>critical intelligence</w:t>
      </w:r>
      <w:r w:rsidR="005F129D">
        <w:rPr>
          <w:rFonts w:ascii="Times New Roman" w:hAnsi="Times New Roman" w:cs="Times New Roman"/>
          <w:sz w:val="24"/>
          <w:szCs w:val="24"/>
        </w:rPr>
        <w:t xml:space="preserve">, </w:t>
      </w:r>
      <w:r w:rsidR="0090628D">
        <w:rPr>
          <w:rFonts w:ascii="Times New Roman" w:hAnsi="Times New Roman" w:cs="Times New Roman"/>
          <w:sz w:val="24"/>
          <w:szCs w:val="24"/>
        </w:rPr>
        <w:t>imaginative reasoning</w:t>
      </w:r>
      <w:r w:rsidR="005F129D">
        <w:rPr>
          <w:rFonts w:ascii="Times New Roman" w:hAnsi="Times New Roman" w:cs="Times New Roman"/>
          <w:sz w:val="24"/>
          <w:szCs w:val="24"/>
        </w:rPr>
        <w:t xml:space="preserve">, and </w:t>
      </w:r>
      <w:r w:rsidR="0043308C">
        <w:rPr>
          <w:rFonts w:ascii="Times New Roman" w:hAnsi="Times New Roman" w:cs="Times New Roman"/>
          <w:sz w:val="24"/>
          <w:szCs w:val="24"/>
        </w:rPr>
        <w:t>as of late</w:t>
      </w:r>
      <w:r w:rsidR="005F129D">
        <w:rPr>
          <w:rFonts w:ascii="Times New Roman" w:hAnsi="Times New Roman" w:cs="Times New Roman"/>
          <w:sz w:val="24"/>
          <w:szCs w:val="24"/>
        </w:rPr>
        <w:t xml:space="preserve">, </w:t>
      </w:r>
      <w:r w:rsidR="0043308C">
        <w:rPr>
          <w:rFonts w:ascii="Times New Roman" w:hAnsi="Times New Roman" w:cs="Times New Roman"/>
          <w:sz w:val="24"/>
          <w:szCs w:val="24"/>
        </w:rPr>
        <w:t>innovation</w:t>
      </w:r>
      <w:r w:rsidR="005F129D">
        <w:rPr>
          <w:rFonts w:ascii="Times New Roman" w:hAnsi="Times New Roman" w:cs="Times New Roman"/>
          <w:sz w:val="24"/>
          <w:szCs w:val="24"/>
        </w:rPr>
        <w:t xml:space="preserve"> </w:t>
      </w:r>
      <w:r w:rsidR="0090628D">
        <w:rPr>
          <w:rFonts w:ascii="Times New Roman" w:hAnsi="Times New Roman" w:cs="Times New Roman"/>
          <w:sz w:val="24"/>
          <w:szCs w:val="24"/>
        </w:rPr>
        <w:t>integration</w:t>
      </w:r>
      <w:r w:rsidR="005F129D">
        <w:rPr>
          <w:rFonts w:ascii="Times New Roman" w:hAnsi="Times New Roman" w:cs="Times New Roman"/>
          <w:sz w:val="24"/>
          <w:szCs w:val="24"/>
        </w:rPr>
        <w:t>.</w:t>
      </w:r>
    </w:p>
    <w:p w:rsidR="00A275AB" w:rsidRPr="00A275AB" w:rsidRDefault="00A275AB" w:rsidP="00A275AB">
      <w:pPr>
        <w:spacing w:line="480" w:lineRule="auto"/>
        <w:ind w:firstLine="720"/>
        <w:rPr>
          <w:rFonts w:ascii="Times New Roman" w:hAnsi="Times New Roman" w:cs="Times New Roman"/>
          <w:sz w:val="24"/>
          <w:szCs w:val="24"/>
        </w:rPr>
      </w:pPr>
      <w:r w:rsidRPr="00A275AB">
        <w:rPr>
          <w:rFonts w:ascii="Times New Roman" w:hAnsi="Times New Roman" w:cs="Times New Roman"/>
          <w:sz w:val="24"/>
          <w:szCs w:val="24"/>
        </w:rPr>
        <w:lastRenderedPageBreak/>
        <w:t xml:space="preserve">Several misunderstandings existing on the case study research include; theoretical knowledge is more valuable than concrete, practical experience. It further states that it is impossible to generalize by the unlikely case. The study produces context-dependent expertise that research on learning shows to be necessary to allow people to develop from skill-based beginners to virtuoso experts. In schooling situation, a well-chosen case study can help a student achieve competence, whereas context –independent facts and regulations bring the students to beginner level. Case study argues finds that there cannot exist predictive theory in social science.  </w:t>
      </w:r>
    </w:p>
    <w:p w:rsidR="00A275AB" w:rsidRPr="00A275AB" w:rsidRDefault="00A275AB" w:rsidP="00A275AB">
      <w:pPr>
        <w:spacing w:line="480" w:lineRule="auto"/>
        <w:ind w:firstLine="720"/>
        <w:rPr>
          <w:rFonts w:ascii="Times New Roman" w:hAnsi="Times New Roman" w:cs="Times New Roman"/>
          <w:sz w:val="24"/>
          <w:szCs w:val="24"/>
        </w:rPr>
      </w:pPr>
      <w:r w:rsidRPr="00A275AB">
        <w:rPr>
          <w:rFonts w:ascii="Times New Roman" w:hAnsi="Times New Roman" w:cs="Times New Roman"/>
          <w:sz w:val="24"/>
          <w:szCs w:val="24"/>
        </w:rPr>
        <w:t xml:space="preserve">Curriculum and case notes focus on modeling and building star managers in different departments by impacting the relevant knowledge to the right personnel. The model is looked at with challenges on the most proficient method to affect the correct involvement, decision of legitimate individual best gathering of people determination and organizations gathering. It summarizes the learning process of which anyone interested in replicating the initiative should consider several philosophical, strategic, and practical points. These incorporate; putting stock in the thought, maintaining the emphasis on significance and believability, savvy determination, supporting case advancement, monitoring diversions and taking a gander at the cases as developing works. </w:t>
      </w:r>
    </w:p>
    <w:p w:rsidR="00A275AB" w:rsidRPr="00A275AB" w:rsidRDefault="00A275AB" w:rsidP="00A275AB">
      <w:pPr>
        <w:spacing w:line="480" w:lineRule="auto"/>
        <w:ind w:firstLine="720"/>
        <w:rPr>
          <w:rFonts w:ascii="Times New Roman" w:hAnsi="Times New Roman" w:cs="Times New Roman"/>
          <w:sz w:val="24"/>
          <w:szCs w:val="24"/>
        </w:rPr>
      </w:pPr>
      <w:r w:rsidRPr="00A275AB">
        <w:rPr>
          <w:rFonts w:ascii="Times New Roman" w:hAnsi="Times New Roman" w:cs="Times New Roman"/>
          <w:sz w:val="24"/>
          <w:szCs w:val="24"/>
        </w:rPr>
        <w:t>Learning is a process which should be handled with caution both in adult and the young alike to make the impacted information sink.</w:t>
      </w:r>
    </w:p>
    <w:p w:rsidR="00AD01A9" w:rsidRPr="00A275AB" w:rsidRDefault="00AD01A9" w:rsidP="00A275AB">
      <w:pPr>
        <w:spacing w:line="480" w:lineRule="auto"/>
        <w:ind w:firstLine="720"/>
        <w:rPr>
          <w:rFonts w:ascii="Times New Roman" w:hAnsi="Times New Roman" w:cs="Times New Roman"/>
          <w:sz w:val="24"/>
          <w:szCs w:val="24"/>
        </w:rPr>
      </w:pPr>
    </w:p>
    <w:sectPr w:rsidR="00AD01A9" w:rsidRPr="00A275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5AB"/>
    <w:rsid w:val="0043308C"/>
    <w:rsid w:val="005F129D"/>
    <w:rsid w:val="00684882"/>
    <w:rsid w:val="0090628D"/>
    <w:rsid w:val="00A275AB"/>
    <w:rsid w:val="00AD01A9"/>
    <w:rsid w:val="00C535E5"/>
    <w:rsid w:val="00E0228D"/>
    <w:rsid w:val="00FE3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B5142"/>
  <w15:chartTrackingRefBased/>
  <w15:docId w15:val="{C6FD0D8B-061C-4D9E-8A02-B56783C41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Vinnst</dc:creator>
  <cp:keywords/>
  <dc:description/>
  <cp:lastModifiedBy>TUSH</cp:lastModifiedBy>
  <cp:revision>2</cp:revision>
  <dcterms:created xsi:type="dcterms:W3CDTF">2018-02-21T20:50:00Z</dcterms:created>
  <dcterms:modified xsi:type="dcterms:W3CDTF">2018-02-21T20:50:00Z</dcterms:modified>
</cp:coreProperties>
</file>